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CF22D8">
      <w:pPr>
        <w:jc w:val="center"/>
        <w:rPr>
          <w:rFonts w:hint="eastAsia" w:ascii="方正小标宋简体" w:hAnsi="方正小标宋简体" w:eastAsia="方正小标宋简体" w:cs="方正小标宋简体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sz w:val="40"/>
          <w:szCs w:val="40"/>
          <w:lang w:val="en-US" w:eastAsia="zh-CN"/>
        </w:rPr>
        <w:t>关于开展</w:t>
      </w:r>
      <w:r>
        <w:rPr>
          <w:rFonts w:hint="eastAsia" w:ascii="方正小标宋简体" w:hAnsi="方正小标宋简体" w:eastAsia="方正小标宋简体" w:cs="方正小标宋简体"/>
          <w:sz w:val="40"/>
          <w:szCs w:val="40"/>
          <w:lang w:eastAsia="zh-CN"/>
        </w:rPr>
        <w:t>“</w:t>
      </w:r>
      <w:r>
        <w:rPr>
          <w:rFonts w:hint="eastAsia" w:ascii="方正小标宋简体" w:hAnsi="方正小标宋简体" w:eastAsia="方正小标宋简体" w:cs="方正小标宋简体"/>
          <w:sz w:val="40"/>
          <w:szCs w:val="40"/>
        </w:rPr>
        <w:t>正气盈学院，廉香沁人心</w:t>
      </w:r>
      <w:r>
        <w:rPr>
          <w:rFonts w:hint="eastAsia" w:ascii="方正小标宋简体" w:hAnsi="方正小标宋简体" w:eastAsia="方正小标宋简体" w:cs="方正小标宋简体"/>
          <w:sz w:val="40"/>
          <w:szCs w:val="40"/>
          <w:lang w:eastAsia="zh-CN"/>
        </w:rPr>
        <w:t>”</w:t>
      </w:r>
    </w:p>
    <w:p w14:paraId="0DB8C090">
      <w:pPr>
        <w:jc w:val="center"/>
        <w:rPr>
          <w:rFonts w:hint="eastAsia" w:ascii="方正小标宋简体" w:hAnsi="方正小标宋简体" w:eastAsia="方正小标宋简体" w:cs="方正小标宋简体"/>
          <w:sz w:val="40"/>
          <w:szCs w:val="40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0"/>
          <w:szCs w:val="40"/>
        </w:rPr>
        <w:t>继续教育学院2026年度“清廉南航”宣传教育系列活动</w:t>
      </w:r>
      <w:r>
        <w:rPr>
          <w:rFonts w:hint="eastAsia" w:ascii="方正小标宋简体" w:hAnsi="方正小标宋简体" w:eastAsia="方正小标宋简体" w:cs="方正小标宋简体"/>
          <w:sz w:val="40"/>
          <w:szCs w:val="40"/>
          <w:lang w:val="en-US" w:eastAsia="zh-CN"/>
        </w:rPr>
        <w:t>通知</w:t>
      </w:r>
    </w:p>
    <w:p w14:paraId="73875A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深入学习贯彻习近平新时代中国特色社会主义思想，认真落实党中央《关于加强新时代廉洁文化建设的意见》精神，根据学校《关于组织开展2026年度“清廉南航”宣传教育系列活动的通知》要求，结合学院实际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通知如下：</w:t>
      </w:r>
      <w:bookmarkStart w:id="0" w:name="_GoBack"/>
      <w:bookmarkEnd w:id="0"/>
    </w:p>
    <w:p w14:paraId="797E9F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一、总体思路</w:t>
      </w:r>
    </w:p>
    <w:p w14:paraId="7F92BA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紧扣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学校</w:t>
      </w:r>
      <w:r>
        <w:rPr>
          <w:rFonts w:hint="eastAsia" w:ascii="仿宋_GB2312" w:hAnsi="仿宋_GB2312" w:eastAsia="仿宋_GB2312" w:cs="仿宋_GB2312"/>
          <w:sz w:val="32"/>
          <w:szCs w:val="32"/>
        </w:rPr>
        <w:t>“正气盈学院，廉香沁人心”主题，立足继续教育学院办学特点，围绕立德树人根本任务，聚焦“干部清廉从政、教师清廉从教、职工清廉从业、学生清廉修身”四个维度，以“学廉、思廉、践廉”为主线，将廉洁教育与深入贯彻中央八项规定精神学习教育、树立和践行正确政绩观学习教育紧密结合，打造具有继教辨识度的“清廉+”品牌，营造风清气正的育人环境。</w:t>
      </w:r>
    </w:p>
    <w:p w14:paraId="1DD540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二、活动时间</w:t>
      </w:r>
    </w:p>
    <w:p w14:paraId="4E910F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2026年4月—6月（部分活动贯穿全年）</w:t>
      </w:r>
    </w:p>
    <w:p w14:paraId="158AD3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三、活动对象</w:t>
      </w:r>
    </w:p>
    <w:p w14:paraId="4047D2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全院教职工、全体在校学生</w:t>
      </w:r>
    </w:p>
    <w:p w14:paraId="3C841E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四、活动内容</w:t>
      </w:r>
    </w:p>
    <w:p w14:paraId="3AB48B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（一）“学廉知廉”主线：筑牢思想根基</w:t>
      </w:r>
    </w:p>
    <w:p w14:paraId="1D33C9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1.全员参与线上知识问答，掀起“指尖学廉”热潮</w:t>
      </w:r>
    </w:p>
    <w:p w14:paraId="6FC75E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（1）教育部知识竞答</w:t>
      </w:r>
    </w:p>
    <w:p w14:paraId="2EF211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内容：组织全院学生（含函授站学生）关注教育部政务新媒体“微言教育”或“中国大学生在线”微信公众号，按时参加廉洁知识问答和廉洁视频故事答题。</w:t>
      </w:r>
    </w:p>
    <w:p w14:paraId="71CF2D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组织方式：</w:t>
      </w:r>
      <w:r>
        <w:rPr>
          <w:rFonts w:hint="eastAsia" w:ascii="仿宋_GB2312" w:hAnsi="仿宋_GB2312" w:eastAsia="仿宋_GB2312" w:cs="仿宋_GB2312"/>
          <w:sz w:val="32"/>
          <w:szCs w:val="32"/>
        </w:rPr>
        <w:t>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管</w:t>
      </w:r>
      <w:r>
        <w:rPr>
          <w:rFonts w:hint="eastAsia" w:ascii="仿宋_GB2312" w:hAnsi="仿宋_GB2312" w:eastAsia="仿宋_GB2312" w:cs="仿宋_GB2312"/>
          <w:sz w:val="32"/>
          <w:szCs w:val="32"/>
        </w:rPr>
        <w:t>办牵头，各班辅导员将答题链接转发至班级群，做到“班班通、人人答”。</w:t>
      </w:r>
    </w:p>
    <w:p w14:paraId="25686E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（2）院内补充学习</w:t>
      </w:r>
    </w:p>
    <w:p w14:paraId="4A637C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编制《继续教育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高等职业技术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学院廉洁应知应会手册》，涵盖中央八项规定精神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学习教育</w:t>
      </w:r>
      <w:r>
        <w:rPr>
          <w:rFonts w:hint="eastAsia" w:ascii="仿宋_GB2312" w:hAnsi="仿宋_GB2312" w:eastAsia="仿宋_GB2312" w:cs="仿宋_GB2312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树立和践行</w:t>
      </w:r>
      <w:r>
        <w:rPr>
          <w:rFonts w:hint="eastAsia" w:ascii="仿宋_GB2312" w:hAnsi="仿宋_GB2312" w:eastAsia="仿宋_GB2312" w:cs="仿宋_GB2312"/>
          <w:sz w:val="32"/>
          <w:szCs w:val="32"/>
        </w:rPr>
        <w:t>正确政绩观等内容，供师生随时学习。</w:t>
      </w:r>
    </w:p>
    <w:p w14:paraId="397F6A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2.分层分类开展警示教育，用身边事警醒身边人</w:t>
      </w:r>
    </w:p>
    <w:p w14:paraId="1DB722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（1）召开学院警示教育大会</w:t>
      </w:r>
    </w:p>
    <w:p w14:paraId="5DA5A6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时间：5月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下</w:t>
      </w:r>
      <w:r>
        <w:rPr>
          <w:rFonts w:hint="eastAsia" w:ascii="仿宋_GB2312" w:hAnsi="仿宋_GB2312" w:eastAsia="仿宋_GB2312" w:cs="仿宋_GB2312"/>
          <w:sz w:val="32"/>
          <w:szCs w:val="32"/>
        </w:rPr>
        <w:t>旬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10月下旬</w:t>
      </w:r>
    </w:p>
    <w:p w14:paraId="0352C2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内容：通报校内外及继续教育领域招生、教学、收费等环节的典型案例，深入剖析风险点，做到“受警醒、明底线、知敬畏”。</w:t>
      </w:r>
    </w:p>
    <w:p w14:paraId="4519A424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组织实地参观学习</w:t>
      </w:r>
    </w:p>
    <w:p w14:paraId="5383A7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时间：5月上旬、10月下旬</w:t>
      </w:r>
    </w:p>
    <w:p w14:paraId="6B8FD65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内容：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组织全院教工、师生</w:t>
      </w:r>
      <w:r>
        <w:rPr>
          <w:rFonts w:hint="eastAsia" w:ascii="仿宋_GB2312" w:hAnsi="仿宋_GB2312" w:eastAsia="仿宋_GB2312" w:cs="仿宋_GB2312"/>
          <w:sz w:val="32"/>
          <w:szCs w:val="32"/>
        </w:rPr>
        <w:t>党支部前往参观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撰写心得体会并交流。</w:t>
      </w:r>
    </w:p>
    <w:p w14:paraId="047703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雨花台区监察明镜馆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以“明镜高悬”为主题，融合现代科技与廉洁文化，通过场景复原、案例警示、互动体验等方式，集中展示纪检监察工作历程及典型违纪违法案例。</w:t>
      </w:r>
    </w:p>
    <w:p w14:paraId="5DED2F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栖霞区党的纪律建设教育馆：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系统展示党的纪律建设历史沿革、重要法规制度及典型案例，突出纪律教育的政治性、时代性、针对性，设有宣誓区、警示区、互动区。</w:t>
      </w:r>
    </w:p>
    <w:p w14:paraId="045F2D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（二）“思廉传廉”主线：厚植文化土壤</w:t>
      </w:r>
    </w:p>
    <w:p w14:paraId="7C24CF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廉洁文化作品征集活动</w:t>
      </w:r>
    </w:p>
    <w:p w14:paraId="721CD5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面向全院师生员工广泛征集诗歌、散文、随笔、信件等文学作品，中国画、书法（含篆刻）、创意海报、公益广告、文创设计、艺术装置等创意作品，短视频、微电影、微短剧、微纪录片、情景连续剧等视频影像作品。2026年6月10日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前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以支部为单位报送至戚羽茹老师处。</w:t>
      </w:r>
    </w:p>
    <w:p w14:paraId="6B0D00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激励措施：设立一、二、三等奖及优秀奖。优秀作品在学院官网、微信公众号展示，并推荐参加校级评选。</w:t>
      </w:r>
    </w:p>
    <w:p w14:paraId="776B572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（三）“践廉守廉”主线：推动成果转化</w:t>
      </w:r>
    </w:p>
    <w:p w14:paraId="065A4AD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1.“清廉单元”案例征集</w:t>
      </w:r>
    </w:p>
    <w:p w14:paraId="3A5675C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聚焦“清廉招生”“清廉教学管理”“清廉学生工作”等1-2个具体领域。从小切口入手，凝练经验做法、制度成果、典型事例，形成可复制、可推广的“清廉单元”建设案例。2026年6月1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日前以支部为单位报送至戚羽茹老师处。</w:t>
      </w:r>
    </w:p>
    <w:p w14:paraId="07A2296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参考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案例方向：“阳光招生”全过程监督机制、“透明考务”标准化操作流程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等。</w:t>
      </w:r>
    </w:p>
    <w:p w14:paraId="6E6B559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3" w:firstLineChars="200"/>
        <w:jc w:val="both"/>
        <w:textAlignment w:val="auto"/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廉洁教育</w:t>
      </w:r>
      <w:r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  <w:t>课堂实践案例征集（“三个一”工程）</w:t>
      </w:r>
    </w:p>
    <w:p w14:paraId="39EE6DA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围绕廉洁教育主题，打造以下三类课堂实践案例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，每类建议至少提交1个优秀案例，含课程设计、实施过程、学生反馈等内容。</w:t>
      </w:r>
    </w:p>
    <w:p w14:paraId="5F9703C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 w14:paraId="0D47666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 w14:paraId="049C204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 w14:paraId="6F73419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 w14:paraId="56CCD8E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tbl>
      <w:tblPr>
        <w:tblStyle w:val="3"/>
        <w:tblW w:w="0" w:type="auto"/>
        <w:tblInd w:w="1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0"/>
        <w:gridCol w:w="4226"/>
        <w:gridCol w:w="2187"/>
      </w:tblGrid>
      <w:tr w14:paraId="487D96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0" w:type="dxa"/>
            <w:vAlign w:val="center"/>
          </w:tcPr>
          <w:p w14:paraId="291A440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5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aps w:val="0"/>
                <w:color w:val="0F1115"/>
                <w:spacing w:val="0"/>
                <w:sz w:val="28"/>
                <w:szCs w:val="28"/>
                <w:shd w:val="clear" w:fill="FFFFFF"/>
              </w:rPr>
              <w:t>课程类型</w:t>
            </w:r>
          </w:p>
        </w:tc>
        <w:tc>
          <w:tcPr>
            <w:tcW w:w="4226" w:type="dxa"/>
            <w:vAlign w:val="center"/>
          </w:tcPr>
          <w:p w14:paraId="10BB8C0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5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aps w:val="0"/>
                <w:color w:val="0F1115"/>
                <w:spacing w:val="0"/>
                <w:sz w:val="28"/>
                <w:szCs w:val="28"/>
                <w:shd w:val="clear" w:fill="FFFFFF"/>
              </w:rPr>
              <w:t>名称示例</w:t>
            </w:r>
          </w:p>
        </w:tc>
        <w:tc>
          <w:tcPr>
            <w:tcW w:w="2187" w:type="dxa"/>
            <w:vAlign w:val="center"/>
          </w:tcPr>
          <w:p w14:paraId="1071FC0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5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aps w:val="0"/>
                <w:color w:val="0F1115"/>
                <w:spacing w:val="0"/>
                <w:sz w:val="28"/>
                <w:szCs w:val="28"/>
                <w:shd w:val="clear" w:fill="FFFFFF"/>
              </w:rPr>
              <w:t>内容设想</w:t>
            </w:r>
          </w:p>
        </w:tc>
      </w:tr>
      <w:tr w14:paraId="76D902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0" w:type="dxa"/>
            <w:vAlign w:val="center"/>
          </w:tcPr>
          <w:p w14:paraId="48FFC8D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50" w:lineRule="exact"/>
              <w:jc w:val="center"/>
              <w:textAlignment w:val="auto"/>
              <w:rPr>
                <w:rStyle w:val="5"/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aps w:val="0"/>
                <w:color w:val="0F1115"/>
                <w:spacing w:val="0"/>
                <w:sz w:val="28"/>
                <w:szCs w:val="28"/>
                <w:shd w:val="clear" w:fill="FFFFFF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aps w:val="0"/>
                <w:color w:val="0F1115"/>
                <w:spacing w:val="0"/>
                <w:sz w:val="28"/>
                <w:szCs w:val="28"/>
                <w:shd w:val="clear" w:fill="FFFFFF"/>
              </w:rPr>
              <w:t>树廉风</w:t>
            </w:r>
          </w:p>
          <w:p w14:paraId="3E53DC5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5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aps w:val="0"/>
                <w:color w:val="0F1115"/>
                <w:spacing w:val="0"/>
                <w:sz w:val="28"/>
                <w:szCs w:val="28"/>
                <w:shd w:val="clear" w:fill="FFFFFF"/>
              </w:rPr>
              <w:t>·廉洁文化课</w:t>
            </w:r>
          </w:p>
        </w:tc>
        <w:tc>
          <w:tcPr>
            <w:tcW w:w="4226" w:type="dxa"/>
            <w:vAlign w:val="center"/>
          </w:tcPr>
          <w:p w14:paraId="67F8363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5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F1115"/>
                <w:spacing w:val="0"/>
                <w:sz w:val="28"/>
                <w:szCs w:val="28"/>
                <w:shd w:val="clear" w:fill="FFFFFF"/>
              </w:rPr>
              <w:t>《继教领域的廉洁风险与防范》</w:t>
            </w:r>
          </w:p>
        </w:tc>
        <w:tc>
          <w:tcPr>
            <w:tcW w:w="2187" w:type="dxa"/>
            <w:vAlign w:val="center"/>
          </w:tcPr>
          <w:p w14:paraId="1FDF979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5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F1115"/>
                <w:spacing w:val="0"/>
                <w:sz w:val="28"/>
                <w:szCs w:val="28"/>
                <w:shd w:val="clear" w:fill="FFFFFF"/>
              </w:rPr>
              <w:t>面向教职工开设，结合招生、教学、收费等实际场景</w:t>
            </w:r>
          </w:p>
        </w:tc>
      </w:tr>
      <w:tr w14:paraId="676C64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0" w:type="dxa"/>
            <w:vAlign w:val="center"/>
          </w:tcPr>
          <w:p w14:paraId="7A025C9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50" w:lineRule="exact"/>
              <w:jc w:val="center"/>
              <w:textAlignment w:val="auto"/>
              <w:rPr>
                <w:rStyle w:val="5"/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aps w:val="0"/>
                <w:color w:val="0F1115"/>
                <w:spacing w:val="0"/>
                <w:sz w:val="28"/>
                <w:szCs w:val="28"/>
                <w:shd w:val="clear" w:fill="FFFFFF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aps w:val="0"/>
                <w:color w:val="0F1115"/>
                <w:spacing w:val="0"/>
                <w:sz w:val="28"/>
                <w:szCs w:val="28"/>
                <w:shd w:val="clear" w:fill="FFFFFF"/>
              </w:rPr>
              <w:t>青廉说</w:t>
            </w:r>
          </w:p>
          <w:p w14:paraId="4F7969D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5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aps w:val="0"/>
                <w:color w:val="0F1115"/>
                <w:spacing w:val="0"/>
                <w:sz w:val="28"/>
                <w:szCs w:val="28"/>
                <w:shd w:val="clear" w:fill="FFFFFF"/>
              </w:rPr>
              <w:t>·廉洁微网课</w:t>
            </w:r>
          </w:p>
        </w:tc>
        <w:tc>
          <w:tcPr>
            <w:tcW w:w="4226" w:type="dxa"/>
            <w:vAlign w:val="center"/>
          </w:tcPr>
          <w:p w14:paraId="0788F85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5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F1115"/>
                <w:spacing w:val="0"/>
                <w:sz w:val="28"/>
                <w:szCs w:val="28"/>
                <w:shd w:val="clear" w:fill="FFFFFF"/>
              </w:rPr>
              <w:t>《青年说纪法——学生违纪警示案例解读》</w:t>
            </w:r>
          </w:p>
        </w:tc>
        <w:tc>
          <w:tcPr>
            <w:tcW w:w="2187" w:type="dxa"/>
            <w:vAlign w:val="center"/>
          </w:tcPr>
          <w:p w14:paraId="1C5A07C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5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F1115"/>
                <w:spacing w:val="0"/>
                <w:sz w:val="28"/>
                <w:szCs w:val="28"/>
                <w:shd w:val="clear" w:fill="FFFFFF"/>
              </w:rPr>
              <w:t>面向学生录制10分钟微课，融入真实案例</w:t>
            </w:r>
          </w:p>
        </w:tc>
      </w:tr>
      <w:tr w14:paraId="2E23A7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0" w:type="dxa"/>
            <w:vAlign w:val="center"/>
          </w:tcPr>
          <w:p w14:paraId="6C7A846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50" w:lineRule="exact"/>
              <w:jc w:val="center"/>
              <w:textAlignment w:val="auto"/>
              <w:rPr>
                <w:rStyle w:val="5"/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aps w:val="0"/>
                <w:color w:val="0F1115"/>
                <w:spacing w:val="0"/>
                <w:sz w:val="28"/>
                <w:szCs w:val="28"/>
                <w:shd w:val="clear" w:fill="FFFFFF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aps w:val="0"/>
                <w:color w:val="0F1115"/>
                <w:spacing w:val="0"/>
                <w:sz w:val="28"/>
                <w:szCs w:val="28"/>
                <w:shd w:val="clear" w:fill="FFFFFF"/>
              </w:rPr>
              <w:t>寻廉脉</w:t>
            </w:r>
          </w:p>
          <w:p w14:paraId="523661A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5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aps w:val="0"/>
                <w:color w:val="0F1115"/>
                <w:spacing w:val="0"/>
                <w:sz w:val="28"/>
                <w:szCs w:val="28"/>
                <w:shd w:val="clear" w:fill="FFFFFF"/>
              </w:rPr>
              <w:t>·廉洁实践课</w:t>
            </w:r>
          </w:p>
        </w:tc>
        <w:tc>
          <w:tcPr>
            <w:tcW w:w="4226" w:type="dxa"/>
            <w:vAlign w:val="center"/>
          </w:tcPr>
          <w:p w14:paraId="5596CFE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5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F1115"/>
                <w:spacing w:val="0"/>
                <w:sz w:val="28"/>
                <w:szCs w:val="28"/>
                <w:shd w:val="clear" w:fill="FFFFFF"/>
              </w:rPr>
              <w:t>行走的廉洁课——走进雨花台监察明镜馆》</w:t>
            </w:r>
          </w:p>
        </w:tc>
        <w:tc>
          <w:tcPr>
            <w:tcW w:w="2187" w:type="dxa"/>
            <w:vAlign w:val="center"/>
          </w:tcPr>
          <w:p w14:paraId="5B5EE18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5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F1115"/>
                <w:spacing w:val="0"/>
                <w:sz w:val="28"/>
                <w:szCs w:val="28"/>
                <w:shd w:val="clear" w:fill="FFFFFF"/>
              </w:rPr>
              <w:t>将实地参观转化为实践课程，形成教学设计方案</w:t>
            </w:r>
          </w:p>
        </w:tc>
      </w:tr>
    </w:tbl>
    <w:p w14:paraId="754F5FC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五、工作要求</w:t>
      </w:r>
    </w:p>
    <w:p w14:paraId="38E865F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3" w:firstLineChars="200"/>
        <w:jc w:val="both"/>
        <w:textAlignment w:val="auto"/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1.加强组织领导，压实责任</w:t>
      </w:r>
    </w:p>
    <w:p w14:paraId="0F8A5CE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成立学院“清廉南航”活动工作小组，确保各项活动有人抓、有人管、有实效。</w:t>
      </w:r>
    </w:p>
    <w:p w14:paraId="27A679A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3" w:firstLineChars="200"/>
        <w:jc w:val="both"/>
        <w:textAlignment w:val="auto"/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  <w:t>2.广泛宣传动员，提升参与度</w:t>
      </w:r>
    </w:p>
    <w:p w14:paraId="7BDB2CF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利用学院网站、微信公众号、班级群等渠道，提前发布活动预告，营造氛围。</w:t>
      </w:r>
    </w:p>
    <w:p w14:paraId="2DB3A94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3" w:firstLineChars="200"/>
        <w:jc w:val="both"/>
        <w:textAlignment w:val="auto"/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  <w:t>3.注重实际效果，力戒形式主义</w:t>
      </w:r>
    </w:p>
    <w:p w14:paraId="16A46F8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各项活动紧扣继续教育实际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，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作品征集不硬性摊派，重在质量与创意。参观学习后要有讨论、有心得、有改进措施。</w:t>
      </w:r>
    </w:p>
    <w:p w14:paraId="1304CB9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3" w:firstLineChars="200"/>
        <w:jc w:val="both"/>
        <w:textAlignment w:val="auto"/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  <w:t>4.及时总结凝练，形成品牌</w:t>
      </w:r>
    </w:p>
    <w:p w14:paraId="505D09B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活动过程中注意留存照片、视频、文字材料。活动结束后形成学院“清廉南航”专题总结报告。提炼“清廉继教”特色做法，争取在学校层面展示推广。</w:t>
      </w:r>
    </w:p>
    <w:p w14:paraId="2331589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附件：</w:t>
      </w:r>
    </w:p>
    <w:p w14:paraId="220B1085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廉洁文化作品和课堂实践案例申报要求</w:t>
      </w:r>
    </w:p>
    <w:p w14:paraId="1AB0D89D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20" w:firstLineChars="20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ascii="仿宋_GB2312" w:hAnsi="宋体" w:eastAsia="仿宋_GB2312" w:cs="仿宋_GB2312"/>
          <w:b w:val="0"/>
          <w:bCs w:val="0"/>
          <w:color w:val="000000"/>
          <w:sz w:val="31"/>
          <w:szCs w:val="31"/>
        </w:rPr>
        <w:t>高校廉洁教育作品申报表</w:t>
      </w:r>
    </w:p>
    <w:p w14:paraId="53583117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20" w:firstLineChars="20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ascii="仿宋_GB2312" w:hAnsi="宋体" w:eastAsia="仿宋_GB2312" w:cs="仿宋_GB2312"/>
          <w:b w:val="0"/>
          <w:bCs w:val="0"/>
          <w:color w:val="000000"/>
          <w:sz w:val="31"/>
          <w:szCs w:val="31"/>
        </w:rPr>
        <w:t>高校廉洁教育课堂实践案例申报书</w:t>
      </w:r>
    </w:p>
    <w:p w14:paraId="3F9AE84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jc w:val="both"/>
        <w:textAlignment w:val="auto"/>
        <w:rPr>
          <w:rFonts w:ascii="仿宋_GB2312" w:hAnsi="宋体" w:eastAsia="仿宋_GB2312" w:cs="仿宋_GB2312"/>
          <w:b w:val="0"/>
          <w:bCs w:val="0"/>
          <w:color w:val="000000"/>
          <w:sz w:val="31"/>
          <w:szCs w:val="31"/>
        </w:rPr>
      </w:pPr>
    </w:p>
    <w:p w14:paraId="70A3C64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jc w:val="both"/>
        <w:textAlignment w:val="auto"/>
        <w:rPr>
          <w:rFonts w:ascii="仿宋_GB2312" w:hAnsi="宋体" w:eastAsia="仿宋_GB2312" w:cs="仿宋_GB2312"/>
          <w:b w:val="0"/>
          <w:bCs w:val="0"/>
          <w:color w:val="000000"/>
          <w:sz w:val="31"/>
          <w:szCs w:val="31"/>
        </w:rPr>
      </w:pPr>
    </w:p>
    <w:p w14:paraId="3FB1C92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jc w:val="both"/>
        <w:textAlignment w:val="auto"/>
        <w:rPr>
          <w:rFonts w:ascii="仿宋_GB2312" w:hAnsi="宋体" w:eastAsia="仿宋_GB2312" w:cs="仿宋_GB2312"/>
          <w:b w:val="0"/>
          <w:bCs w:val="0"/>
          <w:color w:val="000000"/>
          <w:sz w:val="31"/>
          <w:szCs w:val="31"/>
        </w:rPr>
      </w:pPr>
    </w:p>
    <w:p w14:paraId="1D3B19D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jc w:val="both"/>
        <w:textAlignment w:val="auto"/>
        <w:rPr>
          <w:rFonts w:ascii="仿宋_GB2312" w:hAnsi="宋体" w:eastAsia="仿宋_GB2312" w:cs="仿宋_GB2312"/>
          <w:b w:val="0"/>
          <w:bCs w:val="0"/>
          <w:color w:val="000000"/>
          <w:sz w:val="31"/>
          <w:szCs w:val="31"/>
        </w:rPr>
      </w:pPr>
    </w:p>
    <w:p w14:paraId="21C0D25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jc w:val="right"/>
        <w:textAlignment w:val="auto"/>
        <w:rPr>
          <w:rFonts w:hint="eastAsia" w:ascii="仿宋_GB2312" w:hAnsi="宋体" w:eastAsia="仿宋_GB2312" w:cs="仿宋_GB2312"/>
          <w:b w:val="0"/>
          <w:bCs w:val="0"/>
          <w:color w:val="000000"/>
          <w:sz w:val="31"/>
          <w:szCs w:val="31"/>
          <w:lang w:val="en-US" w:eastAsia="zh-CN"/>
        </w:rPr>
      </w:pPr>
      <w:r>
        <w:rPr>
          <w:rFonts w:hint="eastAsia" w:ascii="仿宋_GB2312" w:hAnsi="宋体" w:eastAsia="仿宋_GB2312" w:cs="仿宋_GB2312"/>
          <w:b w:val="0"/>
          <w:bCs w:val="0"/>
          <w:color w:val="000000"/>
          <w:sz w:val="31"/>
          <w:szCs w:val="31"/>
          <w:lang w:val="en-US" w:eastAsia="zh-CN"/>
        </w:rPr>
        <w:t>南京航空航天大学继续教育（高等职业技术）学院</w:t>
      </w:r>
    </w:p>
    <w:p w14:paraId="1B7B257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jc w:val="center"/>
        <w:textAlignment w:val="auto"/>
        <w:rPr>
          <w:rFonts w:hint="default" w:ascii="仿宋_GB2312" w:hAnsi="宋体" w:eastAsia="仿宋_GB2312" w:cs="仿宋_GB2312"/>
          <w:b w:val="0"/>
          <w:bCs w:val="0"/>
          <w:color w:val="000000"/>
          <w:sz w:val="31"/>
          <w:szCs w:val="31"/>
          <w:lang w:val="en-US" w:eastAsia="zh-CN"/>
        </w:rPr>
      </w:pPr>
      <w:r>
        <w:rPr>
          <w:rFonts w:hint="eastAsia" w:ascii="仿宋_GB2312" w:hAnsi="宋体" w:eastAsia="仿宋_GB2312" w:cs="仿宋_GB2312"/>
          <w:b w:val="0"/>
          <w:bCs w:val="0"/>
          <w:color w:val="000000"/>
          <w:sz w:val="31"/>
          <w:szCs w:val="31"/>
          <w:lang w:val="en-US" w:eastAsia="zh-CN"/>
        </w:rPr>
        <w:t xml:space="preserve">       2026年4月23日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D8AAA4B"/>
    <w:multiLevelType w:val="singleLevel"/>
    <w:tmpl w:val="8D8AAA4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279BBB8D"/>
    <w:multiLevelType w:val="singleLevel"/>
    <w:tmpl w:val="279BBB8D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41098B"/>
    <w:rsid w:val="0CF33F08"/>
    <w:rsid w:val="1D8A445D"/>
    <w:rsid w:val="207B531F"/>
    <w:rsid w:val="22420C43"/>
    <w:rsid w:val="4780765A"/>
    <w:rsid w:val="5A503C0A"/>
    <w:rsid w:val="5B41098B"/>
    <w:rsid w:val="63003D06"/>
    <w:rsid w:val="69A43B52"/>
    <w:rsid w:val="6C735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1798</Words>
  <Characters>1833</Characters>
  <Lines>0</Lines>
  <Paragraphs>0</Paragraphs>
  <TotalTime>4</TotalTime>
  <ScaleCrop>false</ScaleCrop>
  <LinksUpToDate>false</LinksUpToDate>
  <CharactersWithSpaces>1840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2026-04-14T01:39:00Z</dcterms:created>
  <dc:creator>戚羽茹</dc:creator>
  <cp:lastModifiedBy>戚羽茹</cp:lastModifiedBy>
  <dcterms:modified xsi:type="dcterms:W3CDTF">2026-04-23T03:02:47Z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322DFD4918574587A0BE8116C0683C35_13</vt:lpwstr>
  </property>
  <property fmtid="{D5CDD505-2E9C-101B-9397-08002B2CF9AE}" pid="4" name="KSOTemplateDocerSaveRecord">
    <vt:lpwstr>eyJoZGlkIjoiN2QzMTIzZDgwMWQyNWMxNGNiMWIzOTk1ZDVlNjIxZDQiLCJ1c2VySWQiOiIxNTY1ODU5NDIwIn0=</vt:lpwstr>
  </property>
</Properties>
</file>